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F45BE8">
        <w:rPr>
          <w:rFonts w:ascii="Times New Roman" w:hAnsi="Times New Roman"/>
        </w:rPr>
        <w:t>0</w:t>
      </w:r>
      <w:r w:rsidR="00306A3E">
        <w:rPr>
          <w:rFonts w:ascii="Times New Roman" w:hAnsi="Times New Roman"/>
        </w:rPr>
        <w:t>8</w:t>
      </w:r>
      <w:r w:rsidR="001035A2" w:rsidRPr="001035A2">
        <w:rPr>
          <w:rFonts w:ascii="Times New Roman" w:hAnsi="Times New Roman"/>
          <w:vertAlign w:val="superscript"/>
        </w:rPr>
        <w:t>th</w:t>
      </w:r>
      <w:r w:rsidR="001035A2">
        <w:rPr>
          <w:rFonts w:ascii="Times New Roman" w:hAnsi="Times New Roman"/>
        </w:rPr>
        <w:t xml:space="preserve"> Aug</w:t>
      </w:r>
      <w:r w:rsidR="004D455C" w:rsidRPr="00CB1D97">
        <w:rPr>
          <w:rFonts w:ascii="Times New Roman" w:hAnsi="Times New Roman"/>
        </w:rPr>
        <w:t>,</w:t>
      </w:r>
      <w:r w:rsidR="00F45BE8">
        <w:rPr>
          <w:rFonts w:ascii="Times New Roman" w:hAnsi="Times New Roman"/>
        </w:rPr>
        <w:t xml:space="preserve"> 2022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r w:rsidR="00C00B24">
        <w:rPr>
          <w:rFonts w:ascii="Times New Roman" w:eastAsia="Times New Roman" w:hAnsi="Times New Roman"/>
        </w:rPr>
        <w:t xml:space="preserve">        </w:t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306A3E" w:rsidRDefault="00A15C40" w:rsidP="00306A3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306A3E">
        <w:rPr>
          <w:rFonts w:ascii="Times New Roman" w:eastAsia="Times New Roman" w:hAnsi="Times New Roman"/>
        </w:rPr>
        <w:t xml:space="preserve">Mr. </w:t>
      </w:r>
      <w:proofErr w:type="spellStart"/>
      <w:r w:rsidR="00306A3E">
        <w:rPr>
          <w:rFonts w:ascii="Times New Roman" w:eastAsia="Times New Roman" w:hAnsi="Times New Roman"/>
        </w:rPr>
        <w:t>Jamyang</w:t>
      </w:r>
      <w:proofErr w:type="spellEnd"/>
      <w:r w:rsidR="00306A3E">
        <w:rPr>
          <w:rFonts w:ascii="Times New Roman" w:eastAsia="Times New Roman" w:hAnsi="Times New Roman"/>
        </w:rPr>
        <w:t xml:space="preserve"> </w:t>
      </w:r>
      <w:proofErr w:type="spellStart"/>
      <w:r w:rsidR="00306A3E">
        <w:rPr>
          <w:rFonts w:ascii="Times New Roman" w:eastAsia="Times New Roman" w:hAnsi="Times New Roman"/>
        </w:rPr>
        <w:t>Chophel</w:t>
      </w:r>
      <w:proofErr w:type="spellEnd"/>
    </w:p>
    <w:p w:rsidR="00402330" w:rsidRPr="000A69EB" w:rsidRDefault="00A15C40" w:rsidP="0040233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b/>
          <w:bCs/>
        </w:rPr>
      </w:pPr>
      <w:r w:rsidRPr="000A69EB">
        <w:rPr>
          <w:rFonts w:ascii="Times New Roman" w:eastAsia="Times New Roman" w:hAnsi="Times New Roman"/>
          <w:b/>
          <w:bCs/>
        </w:rPr>
        <w:t>Title of the Work</w:t>
      </w:r>
      <w:r w:rsidR="00306A3E" w:rsidRPr="000A69EB">
        <w:rPr>
          <w:rFonts w:ascii="Times New Roman" w:eastAsia="Times New Roman" w:hAnsi="Times New Roman"/>
        </w:rPr>
        <w:t xml:space="preserve">:                      </w:t>
      </w:r>
      <w:r w:rsidR="000A69EB"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རྫོང་ཁ་ཡིག་བཟོའི་སྦྱོང་དེབ།</w:t>
      </w:r>
      <w:r w:rsidR="000A69EB" w:rsidRPr="0066648F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གནས་ཚད་གསུམ་པ།</w:t>
      </w:r>
    </w:p>
    <w:p w:rsidR="000A69EB" w:rsidRDefault="00A15C40" w:rsidP="000A69EB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0A69EB">
        <w:rPr>
          <w:rFonts w:ascii="Times New Roman" w:eastAsia="Times New Roman" w:hAnsi="Times New Roman"/>
          <w:b/>
          <w:bCs/>
        </w:rPr>
        <w:t>Category of the Work</w:t>
      </w:r>
      <w:r w:rsidRPr="000A69EB">
        <w:rPr>
          <w:rFonts w:ascii="Times New Roman" w:eastAsia="Times New Roman" w:hAnsi="Times New Roman"/>
        </w:rPr>
        <w:t>:</w:t>
      </w:r>
      <w:r w:rsidRPr="000A69EB">
        <w:rPr>
          <w:rFonts w:ascii="Times New Roman" w:eastAsia="Times New Roman" w:hAnsi="Times New Roman"/>
        </w:rPr>
        <w:tab/>
      </w:r>
      <w:r w:rsidR="00306A3E" w:rsidRPr="000A69EB">
        <w:rPr>
          <w:rFonts w:ascii="Times New Roman" w:eastAsia="Times New Roman" w:hAnsi="Times New Roman"/>
        </w:rPr>
        <w:t>Artistic Works</w:t>
      </w:r>
    </w:p>
    <w:p w:rsidR="000A69EB" w:rsidRPr="000A69EB" w:rsidRDefault="00A15C40" w:rsidP="000A69EB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0A69EB">
        <w:rPr>
          <w:rFonts w:ascii="Times New Roman" w:eastAsia="Times New Roman" w:hAnsi="Times New Roman"/>
          <w:b/>
          <w:bCs/>
        </w:rPr>
        <w:t>Description of the Work</w:t>
      </w:r>
      <w:r w:rsidR="00891898" w:rsidRPr="000A69EB">
        <w:rPr>
          <w:rFonts w:ascii="Times New Roman" w:eastAsia="Times New Roman" w:hAnsi="Times New Roman"/>
        </w:rPr>
        <w:t xml:space="preserve">:  </w:t>
      </w:r>
      <w:r w:rsidR="007A1D3B" w:rsidRPr="000A69EB">
        <w:rPr>
          <w:rFonts w:ascii="Times New Roman" w:eastAsia="Times New Roman" w:hAnsi="Times New Roman"/>
        </w:rPr>
        <w:t xml:space="preserve"> </w:t>
      </w:r>
      <w:r w:rsidR="00AE032A" w:rsidRPr="000A69EB">
        <w:rPr>
          <w:rFonts w:ascii="Times New Roman" w:eastAsia="Times New Roman" w:hAnsi="Times New Roman"/>
        </w:rPr>
        <w:t xml:space="preserve">  </w:t>
      </w:r>
      <w:r w:rsidR="000A69EB" w:rsidRPr="000A69EB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0A69EB" w:rsidRPr="000A69EB">
        <w:rPr>
          <w:color w:val="000000" w:themeColor="text1"/>
        </w:rPr>
        <w:t> “</w:t>
      </w:r>
      <w:r w:rsidR="000A69EB" w:rsidRPr="000A69EB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རྫོང་ཁ་ཡིག་བཟོའི་སྦྱོང་དེབ།གནས་ཚད་གསུམ་པ</w:t>
      </w:r>
      <w:r w:rsidR="000A69EB" w:rsidRPr="000A69E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Handwriting</w:t>
      </w:r>
      <w:r w:rsidR="000A69EB" w:rsidRPr="000A69EB">
        <w:rPr>
          <w:rFonts w:ascii="Times New Roman" w:hAnsi="Times New Roman"/>
          <w:color w:val="000000" w:themeColor="text1"/>
          <w:sz w:val="24"/>
          <w:szCs w:val="24"/>
        </w:rPr>
        <w:t> series 3 introduces Beginner’s Alphabet, moves on to letters with exits and entries during the Transition stage, and then demonstrates how to join the letters to form Modern Cursive.</w:t>
      </w:r>
    </w:p>
    <w:p w:rsidR="000A69EB" w:rsidRDefault="000A69EB" w:rsidP="000A69EB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It is crucial for students to</w:t>
      </w:r>
      <w:r w:rsidRPr="00B7339B">
        <w:rPr>
          <w:color w:val="000000" w:themeColor="text1"/>
        </w:rPr>
        <w:t xml:space="preserve"> develop of fluent and legible handwriting.</w:t>
      </w:r>
    </w:p>
    <w:p w:rsidR="000A69EB" w:rsidRDefault="000A69EB" w:rsidP="000A69EB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 w:rsidRPr="00B7339B">
        <w:rPr>
          <w:color w:val="000000" w:themeColor="text1"/>
        </w:rPr>
        <w:t>The 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རྫོང་ཁ་ཡིག་བཟོའི་སྦྱོང་དེབ།</w:t>
      </w:r>
      <w:r w:rsidRPr="00B7339B">
        <w:rPr>
          <w:color w:val="000000" w:themeColor="text1"/>
        </w:rPr>
        <w:t xml:space="preserve">series </w:t>
      </w:r>
      <w:r>
        <w:rPr>
          <w:color w:val="000000" w:themeColor="text1"/>
        </w:rPr>
        <w:t xml:space="preserve">3 </w:t>
      </w:r>
      <w:r w:rsidRPr="00B7339B">
        <w:rPr>
          <w:color w:val="000000" w:themeColor="text1"/>
        </w:rPr>
        <w:t>provides everything needed to give students a thorough grounding and lots of practice in all the vital handwriting skills.</w:t>
      </w:r>
    </w:p>
    <w:p w:rsidR="000A69EB" w:rsidRPr="00631215" w:rsidRDefault="000A69EB" w:rsidP="000A69EB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 w:rsidRPr="00B7339B">
        <w:rPr>
          <w:color w:val="000000" w:themeColor="text1"/>
        </w:rPr>
        <w:t>Salient features of the </w:t>
      </w:r>
      <w:r w:rsidRPr="00A15AA2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རྫོང་ཁ་ཡིག་བཟོའི་སྦྱོང་དེབ།</w:t>
      </w:r>
      <w:r w:rsidRPr="0066648F"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cs/>
          <w:lang w:bidi="bo-CN"/>
        </w:rPr>
        <w:t>གནས་ཚད་གསུམ་པ།</w:t>
      </w:r>
      <w:r w:rsidRPr="003254A2">
        <w:rPr>
          <w:color w:val="4A442A" w:themeColor="background2" w:themeShade="40"/>
          <w:lang w:bidi="bo-CN"/>
        </w:rPr>
        <w:t>handwriting book</w:t>
      </w:r>
      <w:r>
        <w:rPr>
          <w:rFonts w:ascii="Wangdi29" w:hAnsi="Wangdi29" w:cs="Wangdi29"/>
          <w:color w:val="4A442A" w:themeColor="background2" w:themeShade="40"/>
          <w:sz w:val="72"/>
          <w:szCs w:val="72"/>
          <w:vertAlign w:val="subscript"/>
          <w:lang w:bidi="bo-CN"/>
        </w:rPr>
        <w:t>;</w:t>
      </w:r>
    </w:p>
    <w:p w:rsidR="000A69EB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Memory-Based-</w:t>
      </w: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t>Letter joining technique is introduced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A69EB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It has colored red-blue-red line and discolored three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line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 which the well-defined and legible start points and end points and the directions of letter should be drawn in memory of series 1 and series2 activities. </w:t>
      </w:r>
    </w:p>
    <w:p w:rsidR="000A69EB" w:rsidRPr="00283FE9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83FE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Students are provided activities that will refine their knowledge and skills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A69EB" w:rsidRPr="00B7339B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Students’ dexterity with particular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start points and end points, direction and 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>joins in cursive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Jogyig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handwriting will be increased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A69EB" w:rsidRPr="00B7339B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>Ideas for presentation using print and cursive writing are conveyed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A69EB" w:rsidRPr="00631215" w:rsidRDefault="000A69EB" w:rsidP="000A69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339B">
        <w:rPr>
          <w:rFonts w:ascii="Times New Roman" w:eastAsia="Times New Roman" w:hAnsi="Times New Roman"/>
          <w:color w:val="000000" w:themeColor="text1"/>
          <w:sz w:val="24"/>
          <w:szCs w:val="24"/>
        </w:rPr>
        <w:t>Students are encouraged to develop their own personal style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of cursive “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Jogyig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”.</w:t>
      </w:r>
    </w:p>
    <w:p w:rsidR="000A69EB" w:rsidRDefault="000A69EB" w:rsidP="000A69EB">
      <w:pPr>
        <w:pStyle w:val="text"/>
        <w:shd w:val="clear" w:color="auto" w:fill="FFFFFF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This</w:t>
      </w:r>
      <w:r w:rsidRPr="00B7339B">
        <w:rPr>
          <w:color w:val="000000" w:themeColor="text1"/>
        </w:rPr>
        <w:t xml:space="preserve"> Resource Books provide highly valuable guidance for instruction and practice as well as to reinforce the writing skills taught in the entire Students’ Books.</w:t>
      </w:r>
    </w:p>
    <w:p w:rsidR="00A15C40" w:rsidRPr="00CB1D97" w:rsidRDefault="00306A3E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proofErr w:type="spellStart"/>
      <w:r>
        <w:rPr>
          <w:rFonts w:ascii="Times New Roman" w:eastAsia="Times New Roman" w:hAnsi="Times New Roman"/>
        </w:rPr>
        <w:t>DoIP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15C40" w:rsidRPr="00CB1D97">
        <w:rPr>
          <w:rFonts w:ascii="Times New Roman" w:eastAsia="Times New Roman" w:hAnsi="Times New Roman"/>
        </w:rPr>
        <w:t>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="00A15C40"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</w:t>
      </w:r>
      <w:r w:rsidR="00AE032A">
        <w:rPr>
          <w:rFonts w:ascii="Times New Roman" w:eastAsia="Times New Roman" w:hAnsi="Times New Roman"/>
        </w:rPr>
        <w:t>P</w:t>
      </w:r>
      <w:proofErr w:type="spellEnd"/>
      <w:r w:rsidR="00AE032A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="00AE032A">
        <w:rPr>
          <w:rFonts w:ascii="Times New Roman" w:eastAsia="Times New Roman" w:hAnsi="Times New Roman"/>
        </w:rPr>
        <w:t>MoEA</w:t>
      </w:r>
      <w:proofErr w:type="spellEnd"/>
      <w:proofErr w:type="gramEnd"/>
      <w:r w:rsidR="00AE032A">
        <w:rPr>
          <w:rFonts w:ascii="Times New Roman" w:eastAsia="Times New Roman" w:hAnsi="Times New Roman"/>
        </w:rPr>
        <w:t xml:space="preserve"> at telephone no.: 236512</w:t>
      </w:r>
      <w:r w:rsidRPr="00CB1D97">
        <w:rPr>
          <w:rFonts w:ascii="Times New Roman" w:eastAsia="Times New Roman" w:hAnsi="Times New Roman"/>
        </w:rPr>
        <w:t xml:space="preserve"> or email: </w:t>
      </w:r>
      <w:hyperlink r:id="rId8" w:history="1">
        <w:r w:rsidR="00AE032A" w:rsidRPr="004F3EC9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AF" w:rsidRDefault="00975CAF" w:rsidP="004034E3">
      <w:pPr>
        <w:spacing w:after="0" w:line="240" w:lineRule="auto"/>
      </w:pPr>
      <w:r>
        <w:separator/>
      </w:r>
    </w:p>
  </w:endnote>
  <w:endnote w:type="continuationSeparator" w:id="0">
    <w:p w:rsidR="00975CAF" w:rsidRDefault="00975CAF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AF" w:rsidRDefault="00975CAF" w:rsidP="004034E3">
      <w:pPr>
        <w:spacing w:after="0" w:line="240" w:lineRule="auto"/>
      </w:pPr>
      <w:r>
        <w:separator/>
      </w:r>
    </w:p>
  </w:footnote>
  <w:footnote w:type="continuationSeparator" w:id="0">
    <w:p w:rsidR="00975CAF" w:rsidRDefault="00975CAF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4E36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184E36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184E36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B7B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A69EB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1C2E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4E36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06A3E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468A"/>
    <w:rsid w:val="003C799F"/>
    <w:rsid w:val="003D5165"/>
    <w:rsid w:val="00402330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7BDD"/>
    <w:rsid w:val="00972923"/>
    <w:rsid w:val="00975CAF"/>
    <w:rsid w:val="00996B26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10E8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178D4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2552E"/>
    <w:rsid w:val="00E31605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customStyle="1" w:styleId="subheading-1">
    <w:name w:val="subheading-1"/>
    <w:basedOn w:val="Normal"/>
    <w:rsid w:val="00306A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2743-3879-414C-8390-06BF7B6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501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53</cp:revision>
  <cp:lastPrinted>2019-08-28T09:05:00Z</cp:lastPrinted>
  <dcterms:created xsi:type="dcterms:W3CDTF">2018-08-10T04:55:00Z</dcterms:created>
  <dcterms:modified xsi:type="dcterms:W3CDTF">2022-08-08T05:55:00Z</dcterms:modified>
</cp:coreProperties>
</file>